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364F" w14:textId="5B84A352" w:rsidR="009D10DB" w:rsidRPr="009D10DB" w:rsidRDefault="009D10DB" w:rsidP="009D10DB">
      <w:pPr>
        <w:shd w:val="clear" w:color="auto" w:fill="E8E8E8" w:themeFill="background2"/>
        <w:spacing w:after="105" w:line="750" w:lineRule="atLeast"/>
        <w:outlineLvl w:val="0"/>
        <w:rPr>
          <w:rFonts w:eastAsia="Times New Roman" w:cs="Times New Roman"/>
          <w:color w:val="111111"/>
          <w:kern w:val="36"/>
          <w:sz w:val="26"/>
          <w:szCs w:val="26"/>
          <w:lang w:eastAsia="ru-RU"/>
          <w14:ligatures w14:val="none"/>
        </w:rPr>
      </w:pPr>
      <w:r w:rsidRPr="009D10DB">
        <w:rPr>
          <w:rFonts w:eastAsia="Times New Roman" w:cs="Times New Roman"/>
          <w:color w:val="111111"/>
          <w:kern w:val="36"/>
          <w:sz w:val="26"/>
          <w:szCs w:val="26"/>
          <w:lang w:eastAsia="ru-RU"/>
          <w14:ligatures w14:val="none"/>
        </w:rPr>
        <w:t>СА</w:t>
      </w:r>
      <w:r w:rsidRPr="009D10DB">
        <w:rPr>
          <w:rFonts w:eastAsia="Times New Roman" w:cs="Calibri"/>
          <w:color w:val="111111"/>
          <w:kern w:val="36"/>
          <w:sz w:val="26"/>
          <w:szCs w:val="26"/>
          <w:lang w:eastAsia="ru-RU"/>
          <w14:ligatures w14:val="none"/>
        </w:rPr>
        <w:t>Ғ</w:t>
      </w:r>
      <w:r w:rsidRPr="009D10DB">
        <w:rPr>
          <w:rFonts w:eastAsia="Times New Roman" w:cs="Roboto"/>
          <w:color w:val="111111"/>
          <w:kern w:val="36"/>
          <w:sz w:val="26"/>
          <w:szCs w:val="26"/>
          <w:lang w:eastAsia="ru-RU"/>
          <w14:ligatures w14:val="none"/>
        </w:rPr>
        <w:t>АДИЕВ</w:t>
      </w:r>
      <w:r w:rsidRPr="009D10DB">
        <w:rPr>
          <w:rFonts w:eastAsia="Times New Roman" w:cs="Times New Roman"/>
          <w:color w:val="111111"/>
          <w:kern w:val="36"/>
          <w:sz w:val="26"/>
          <w:szCs w:val="26"/>
          <w:lang w:eastAsia="ru-RU"/>
          <w14:ligatures w14:val="none"/>
        </w:rPr>
        <w:t xml:space="preserve"> </w:t>
      </w:r>
      <w:r w:rsidRPr="009D10DB">
        <w:rPr>
          <w:rFonts w:eastAsia="Times New Roman" w:cs="Roboto"/>
          <w:color w:val="111111"/>
          <w:kern w:val="36"/>
          <w:sz w:val="26"/>
          <w:szCs w:val="26"/>
          <w:lang w:eastAsia="ru-RU"/>
          <w14:ligatures w14:val="none"/>
        </w:rPr>
        <w:t>А</w:t>
      </w:r>
      <w:r w:rsidRPr="009D10DB">
        <w:rPr>
          <w:rFonts w:eastAsia="Times New Roman" w:cs="Calibri"/>
          <w:color w:val="111111"/>
          <w:kern w:val="36"/>
          <w:sz w:val="26"/>
          <w:szCs w:val="26"/>
          <w:lang w:eastAsia="ru-RU"/>
          <w14:ligatures w14:val="none"/>
        </w:rPr>
        <w:t>Қ</w:t>
      </w:r>
      <w:r w:rsidRPr="009D10DB">
        <w:rPr>
          <w:rFonts w:eastAsia="Times New Roman" w:cs="Roboto"/>
          <w:color w:val="111111"/>
          <w:kern w:val="36"/>
          <w:sz w:val="26"/>
          <w:szCs w:val="26"/>
          <w:lang w:eastAsia="ru-RU"/>
          <w14:ligatures w14:val="none"/>
        </w:rPr>
        <w:t>И</w:t>
      </w:r>
      <w:r w:rsidRPr="009D10DB">
        <w:rPr>
          <w:rFonts w:eastAsia="Times New Roman" w:cs="Calibri"/>
          <w:color w:val="111111"/>
          <w:kern w:val="36"/>
          <w:sz w:val="26"/>
          <w:szCs w:val="26"/>
          <w:lang w:eastAsia="ru-RU"/>
          <w14:ligatures w14:val="none"/>
        </w:rPr>
        <w:t>Қ</w:t>
      </w:r>
      <w:r w:rsidRPr="009D10DB">
        <w:rPr>
          <w:rFonts w:eastAsia="Times New Roman" w:cs="Roboto"/>
          <w:color w:val="111111"/>
          <w:kern w:val="36"/>
          <w:sz w:val="26"/>
          <w:szCs w:val="26"/>
          <w:lang w:eastAsia="ru-RU"/>
          <w14:ligatures w14:val="none"/>
        </w:rPr>
        <w:t>АТЫ</w:t>
      </w:r>
      <w:r w:rsidRPr="009D10DB">
        <w:rPr>
          <w:rFonts w:eastAsia="Times New Roman" w:cs="Times New Roman"/>
          <w:color w:val="111111"/>
          <w:kern w:val="36"/>
          <w:sz w:val="26"/>
          <w:szCs w:val="26"/>
          <w:lang w:eastAsia="ru-RU"/>
          <w14:ligatures w14:val="none"/>
        </w:rPr>
        <w:t xml:space="preserve"> (</w:t>
      </w:r>
      <w:r w:rsidRPr="009D10DB">
        <w:rPr>
          <w:rFonts w:eastAsia="Times New Roman" w:cs="Roboto"/>
          <w:color w:val="111111"/>
          <w:kern w:val="36"/>
          <w:sz w:val="26"/>
          <w:szCs w:val="26"/>
          <w:lang w:eastAsia="ru-RU"/>
          <w14:ligatures w14:val="none"/>
        </w:rPr>
        <w:t>ЕСКІРМЕЙТІН</w:t>
      </w:r>
      <w:r w:rsidRPr="009D10DB">
        <w:rPr>
          <w:rFonts w:eastAsia="Times New Roman" w:cs="Times New Roman"/>
          <w:color w:val="111111"/>
          <w:kern w:val="36"/>
          <w:sz w:val="26"/>
          <w:szCs w:val="26"/>
          <w:lang w:eastAsia="ru-RU"/>
          <w14:ligatures w14:val="none"/>
        </w:rPr>
        <w:t xml:space="preserve"> </w:t>
      </w:r>
      <w:r w:rsidRPr="009D10DB">
        <w:rPr>
          <w:rFonts w:eastAsia="Times New Roman" w:cs="Roboto"/>
          <w:color w:val="111111"/>
          <w:kern w:val="36"/>
          <w:sz w:val="26"/>
          <w:szCs w:val="26"/>
          <w:lang w:eastAsia="ru-RU"/>
          <w14:ligatures w14:val="none"/>
        </w:rPr>
        <w:t>ЕСТЕЛІК</w:t>
      </w:r>
      <w:r w:rsidRPr="009D10DB">
        <w:rPr>
          <w:rFonts w:eastAsia="Times New Roman" w:cs="Times New Roman"/>
          <w:color w:val="111111"/>
          <w:kern w:val="36"/>
          <w:sz w:val="26"/>
          <w:szCs w:val="26"/>
          <w:lang w:eastAsia="ru-RU"/>
          <w14:ligatures w14:val="none"/>
        </w:rPr>
        <w:t>)</w:t>
      </w:r>
    </w:p>
    <w:p w14:paraId="1FC66077" w14:textId="17682193" w:rsidR="009D10DB" w:rsidRPr="009D10DB" w:rsidRDefault="009D10DB" w:rsidP="009D10DB">
      <w:pPr>
        <w:spacing w:after="0" w:line="240" w:lineRule="auto"/>
        <w:rPr>
          <w:rFonts w:ascii="Open Sans" w:eastAsia="Times New Roman" w:hAnsi="Open Sans" w:cs="Open Sans"/>
          <w:color w:val="156082" w:themeColor="accent1"/>
          <w:kern w:val="0"/>
          <w:sz w:val="17"/>
          <w:szCs w:val="17"/>
          <w:lang w:eastAsia="ru-RU"/>
          <w14:ligatures w14:val="none"/>
        </w:rPr>
      </w:pPr>
      <w:r w:rsidRPr="009D10DB">
        <w:rPr>
          <w:rFonts w:ascii="Open Sans" w:eastAsia="Times New Roman" w:hAnsi="Open Sans" w:cs="Open Sans"/>
          <w:color w:val="156082" w:themeColor="accent1"/>
          <w:kern w:val="0"/>
          <w:sz w:val="17"/>
          <w:szCs w:val="17"/>
          <w:lang w:eastAsia="ru-RU"/>
          <w14:ligatures w14:val="none"/>
        </w:rPr>
        <w:t>04.02.202</w:t>
      </w:r>
      <w:r w:rsidRPr="009D10DB">
        <w:rPr>
          <w:rFonts w:ascii="Open Sans" w:eastAsia="Times New Roman" w:hAnsi="Open Sans" w:cs="Open Sans"/>
          <w:color w:val="156082" w:themeColor="accent1"/>
          <w:kern w:val="0"/>
          <w:sz w:val="17"/>
          <w:szCs w:val="17"/>
          <w:lang w:eastAsia="ru-RU"/>
          <w14:ligatures w14:val="none"/>
        </w:rPr>
        <w:t>5</w:t>
      </w:r>
    </w:p>
    <w:p w14:paraId="47EEFC62" w14:textId="1283FC2F" w:rsidR="009D10DB" w:rsidRPr="009D10DB" w:rsidRDefault="009D10DB" w:rsidP="009D10DB">
      <w:pPr>
        <w:spacing w:after="105" w:line="240" w:lineRule="auto"/>
        <w:ind w:right="45"/>
        <w:rPr>
          <w:rFonts w:ascii="Open Sans" w:eastAsia="Times New Roman" w:hAnsi="Open Sans" w:cs="Open Sans"/>
          <w:color w:val="FFFFFF"/>
          <w:kern w:val="0"/>
          <w:sz w:val="17"/>
          <w:szCs w:val="17"/>
          <w:u w:val="single"/>
          <w:lang w:eastAsia="ru-RU"/>
          <w14:ligatures w14:val="none"/>
        </w:rPr>
      </w:pPr>
      <w:r w:rsidRPr="009D10DB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9D10DB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ru-RU"/>
          <w14:ligatures w14:val="none"/>
        </w:rPr>
        <w:instrText>HYPERLINK "https://api.whatsapp.com/send?text=%D0%A1%D0%B0%D2%93%D0%B0%D0%B4%D0%B8%D0%B5%D0%B2+%D0%B0%D2%9B%D0%B8%D2%9B%D0%B0%D1%82%D1%8B+%28%D0%B5%D1%81%D0%BA%D1%96%D1%80%D0%BC%D0%B5%D0%B9%D1%82%D1%96%D0%BD+%D0%B5%D1%81%D1%82%D0%B5%D0%BB%D1%96%D0%BA%29%20%0A%0A%20https://qazaq1913.com/2025/02/04/sa-adiev-a-i-aty-eskirmejtin-estelik/" \o "WhatsApp"</w:instrText>
      </w:r>
      <w:r w:rsidRPr="009D10DB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ru-RU"/>
          <w14:ligatures w14:val="none"/>
        </w:rPr>
      </w:r>
      <w:r w:rsidRPr="009D10DB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</w:p>
    <w:p w14:paraId="36551FC8" w14:textId="77777777" w:rsidR="009D10DB" w:rsidRPr="009D10DB" w:rsidRDefault="009D10DB" w:rsidP="009D10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9D10DB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</w:p>
    <w:p w14:paraId="7AB10FDF" w14:textId="77777777" w:rsidR="009D10DB" w:rsidRPr="009D10DB" w:rsidRDefault="009D10DB" w:rsidP="009D10DB">
      <w:pPr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9D10DB">
        <w:rPr>
          <w:rFonts w:ascii="Verdana" w:eastAsia="Times New Roman" w:hAnsi="Verdana" w:cs="Times New Roman"/>
          <w:noProof/>
          <w:color w:val="000000"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5A34A924" wp14:editId="2204CC81">
            <wp:extent cx="5521473" cy="4632960"/>
            <wp:effectExtent l="0" t="0" r="3175" b="0"/>
            <wp:docPr id="1" name="Рисунок 1" descr="Изображение выглядит как Человеческое лицо, портрет, человек, одежда&#10;&#10;Содержимое, созданное искусственным интеллектом, может быть неверным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Человеческое лицо, портрет, человек, одежда&#10;&#10;Содержимое, созданное искусственным интеллектом, может быть неверным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17" cy="463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BF9B" w14:textId="77777777" w:rsidR="009D10DB" w:rsidRDefault="009D10DB" w:rsidP="009D10DB">
      <w:pPr>
        <w:spacing w:after="390" w:line="240" w:lineRule="auto"/>
        <w:rPr>
          <w:rFonts w:ascii="Verdana" w:eastAsia="Times New Roman" w:hAnsi="Verdana" w:cs="Times New Roman"/>
          <w:b/>
          <w:bCs/>
          <w:color w:val="222222"/>
          <w:kern w:val="0"/>
          <w:lang w:eastAsia="ru-RU"/>
          <w14:ligatures w14:val="none"/>
        </w:rPr>
      </w:pPr>
    </w:p>
    <w:p w14:paraId="75BAE481" w14:textId="75DC36F8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ғасырдың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тоқсаныншы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жылдарының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басында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республиканың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ізденістерді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ұйымдастыру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жүйесі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мекемелері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олардың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мақсаттары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атқаратын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жұмыстары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еліміз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қол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жеткізген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тәуелсіздіктің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негізінде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жүргізіліп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жатқан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түбегейлі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өзгерістер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нарықтық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қатынастарға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қайта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қаралды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. 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Іргелі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зерттеулерді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жаңа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жағдайға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икемдеу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үшін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Президентінің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1993–1994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жылдары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 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екі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жарлығы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жарияланды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Оларда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республиканың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ғылыми-техникалық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потенциалын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дамыту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ғылымды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 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ұйымдастыруды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жетілдіре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түсу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ғалымдарға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мемлекет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тарапынан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қолдау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көрсету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академиясына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ұлттық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мәртебе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беруге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байланысты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шаралар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көрсетілген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болатын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. Осы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шараларға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1994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жылдың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басында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Ұлттық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академиясының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жиналысы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оның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бұрынғы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президенті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президиумының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өз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қызметтерін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тоқтату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өтініштерімен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келісіп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, ҰҒА-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ның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жаңа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президенті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етіп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Кенжеғали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Сағадиевті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сайлады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1DDD2ADE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Ол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кезде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Ұлттық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академиясы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50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жылға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жуық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тарихы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бар,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құрылған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күннен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бастап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үдемелі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даму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үстінде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үлкен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мекеме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болатын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7 706 адам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істейтін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Олардың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3 668-і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қызметкер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Академия 900-ге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жуық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тақырыпты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біріктіретін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37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іргелі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зерттеулер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бағдарламасын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5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сондай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бағдарламаны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республика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жоғары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орындарының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қатынасуымен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жүргізетін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Зерттеулерді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ҰҒА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lastRenderedPageBreak/>
        <w:t>жүйесіндегі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43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ошақтары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басқа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11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министрліктер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ведомстваларға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қарайтын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72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мекеме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орындайтын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Осы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атақты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ордасын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Кенжеғали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Әбенұлы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жетік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меңгеріп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байсалды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қалыпта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басқара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білді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Оны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алыстан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емес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жанында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Бас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хатшының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міндетін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атқарып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жүргенде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көрдім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Бұл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қызметке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Кенжеғали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Сағадиевтің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шақыруымен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1994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жылы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мамыр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айында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ауысқанмын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Кенжеғали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Әбенұлы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жұмысымды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әсіресе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құжат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даярлауға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байланысты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ісімді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екі-үш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ай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қадағалап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қанағаттанарлық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екенін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байқады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толық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сеніп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кетті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Ал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кісінің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ғылыми-ұйымдастыру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жұмысындағы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орасан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зор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мүмкіндіктеріне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ауқымды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істерге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лайықты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басшылық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жасап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биік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нәтижеге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жете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алатынына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күн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сайын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жеткізе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бастадым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Академия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мүшелерінің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Кенжеғали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Әбенұлына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сенімінің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ішкі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логикасын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түсіндім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екінші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рет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оралуының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түбінде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ерекше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іскерлігі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терең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білімі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жатқанын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анық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сездім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48C23FD2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Кенжеғали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Сағадиев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ҚР ҰҒА-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президиумының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түпкі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мақсаттары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–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Қазақстанның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ғылыми-техникалық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тәуелсіздігіне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жеткізу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екенін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қойып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осыдан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Ұлттық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академиясының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міндеттері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туындайтынын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мемлекетіміздің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тұрақты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дамуының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ғылыми-техникалық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прогресс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тұруы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қажет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екенін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дәйекті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түрде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ұстана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білді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Ол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іргелі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ғылымдарды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қоғамның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әлеуеті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мәдениетінің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бөлігі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ұлт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өркениеттілігінің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сенімді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көрсеткіші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техниканың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технологияның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өндірістің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ілгерілеу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үрдістерін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көріп-еститін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халықтың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көзі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құлағына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теңеді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5F172577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Осыған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байланысты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алғашқы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үлкен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шара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ретінде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ҰҒА-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жиналысында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Қазақстанның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ғылыми-техникалық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тәуелсіздігі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ҚР ҰҒА-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міндеттері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баяндама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жасап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елімізде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нарық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жағдайында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туындайтын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бағыттарды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анықтауға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олардың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шешімдерін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табуға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жол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ашты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16053FB1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Кенжеғали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Әбенұлының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дәйекті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дәлелдері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беделінің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арқасында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Республика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үкіметі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, ҰҒА-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жиналысы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президиумы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уақытында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қажетті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қаулылар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қабылдап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, 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олардың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негізінде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:</w:t>
      </w:r>
    </w:p>
    <w:p w14:paraId="62692DA2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күрделі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ғылыми-техникалық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проблемаларды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мүдделі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министрліктер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ведомствалардың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жетекшілерінің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қатысуымен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қарастыру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тәжірибесі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енгізілді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780892DD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өзекті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мәселелер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бөлімшелерінде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талқыланып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зерттеулердің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басым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бағыттарының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қатарына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кіргізіліп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отырды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7BF72184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бұрынғы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15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жыл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аралығында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жүргізілген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тақырыптар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олардың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қорытындылары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салыстырмалы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түрде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талданып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бірін-бірі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қайталайтын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тақырыптар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бағдарламалардан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алынды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52CDC142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дамытудың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келелі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бағыттары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бойынша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жаңадан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төрт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зерттеу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институты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ашылды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Олар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осы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уақытқа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дейін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нәтижелі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істеп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тұр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3A7BE801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биология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бөлімшесінен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медициналық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бөлімше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бөлініп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шығып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қызметін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бастап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кетті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3E803ED6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көрнекті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ғалымдардың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зерттеулерін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қолдау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мақсатында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100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жылдық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арнайы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стипендиялар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тағайындалып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олардың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таңдаулыларына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нақты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көмек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көрсетіліп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тұрды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58F774BA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институт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басшыларының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құрамы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жаңартылып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олардың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орнына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қабілетті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жастар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тартылды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Босатылған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директорлардың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көбіне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ізденістерін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құрметті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директор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деңгейінде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жалғастыруға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мұрша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берілді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2845ED5F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қырық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жасқа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дейінгі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он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талантты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докторы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мүше-корреспонденті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сайланды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1DB01B46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келелі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тақырыптарға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конкурс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жарияланып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жеңімпаздарға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қомақты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сыйақы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тапсырылып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тұрды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08130408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lastRenderedPageBreak/>
        <w:t>нарық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жағдайында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академия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құрылымдары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мүшелерінің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қызметін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реттейтін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уставтар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ережелер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қайта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жасалып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бекітілді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5C8E51D7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қабілетті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кадрлардың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басқа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салаларға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ауысып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кетуін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тежейтін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аспиранттардың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диссертацияларын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уақытында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қорғауын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ынталандыратын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шаралар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іске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қосылды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5AE68204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академия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мүшелерінің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құрамы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бұрын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қамтылмаған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бағыттары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бойынша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толықтырылды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5816B648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халықаралық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байланыстар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күшейтілді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Ұлттық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бірінші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рет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шетелдік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мүше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ретінде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Ресейдің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Украинаның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Пәкістанның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ғалымдары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сайланды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7A5BD865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мерзімді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уақытта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шығып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тұратын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баяндамалар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 журналы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ағылшын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тіліне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аударылып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таратыла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бастады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30899EA4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Ұлттық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академиясының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барлық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қызметкерлерінің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жалақылары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есеге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көбейтілді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2A97CE79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жылдары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қазір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республикада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жиі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сөз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жатқан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дәрі-дәрмек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өндірісін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дамыту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мақсатында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арнайы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республикалық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ғылыми-техникалық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бағдарлама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бекітілді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1CD8CA15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космонавт-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зерттеуші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Т.А.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Мұсабаев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ғарышқа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ұшып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«Мир»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орбиталық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кешенінде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бірінші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рет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биотехнологиялық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медициналық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астрофизикалық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қашықтықтан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бақылау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жұмыстарын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нәтижелі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жүргізіп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оралды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43CD3E1A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Ұлттық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академиясының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өндіріске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енгізуге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дайын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168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жетістігі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183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тәжірибелік-өндірістік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сынаққа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жіберуге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болатын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жұмысы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мәліметтер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жеке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жинақ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ретінде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басылып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барлық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министрліктер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ведомстваларға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өнеркәсіп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орындары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мекемелерге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таратылды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;</w:t>
      </w:r>
    </w:p>
    <w:p w14:paraId="33D4474F" w14:textId="77777777" w:rsidR="009D10DB" w:rsidRPr="009D10DB" w:rsidRDefault="009D10DB" w:rsidP="009D10DB">
      <w:pPr>
        <w:numPr>
          <w:ilvl w:val="0"/>
          <w:numId w:val="1"/>
        </w:numPr>
        <w:spacing w:before="100" w:beforeAutospacing="1" w:after="0" w:line="240" w:lineRule="auto"/>
        <w:ind w:left="1035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Біріккен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ұлттар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ұйымының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атынан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деңгейі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жағдайын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көруге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келген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тәуелсіз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сарапшылар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1995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жылы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ҰҒА-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21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ғылыми-зерттеу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институтында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берген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есебінде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зерттеулерінің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жоғарғы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деңгейде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екенін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дәлелдеп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тек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жетістіктерді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өндіріске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кіргізудің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менеджменті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маркетингін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жақсарту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қажет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екенін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анықтады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6425C22E" w14:textId="77777777" w:rsidR="009D10DB" w:rsidRPr="009D10DB" w:rsidRDefault="009D10DB" w:rsidP="009D10DB">
      <w:pPr>
        <w:spacing w:before="100" w:beforeAutospacing="1" w:after="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</w:p>
    <w:p w14:paraId="71C06FB2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К.Ә.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Сағадиевтің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президент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кезінде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Ұлттық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академиясы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жалпыреспубликалық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қоғамдық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мәдени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шараларды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ұйымдастыру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орталығына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айналды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Абайдың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150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жылдығына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арналған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салтанатты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жиналыстар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мерейтой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жоғарғы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деңгейде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Алматы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Жидебайда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өткізілді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ЮНЕСКО мен 22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елдің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өкілдері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республика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ғалымдары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жазушылары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ақындары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кино мен театр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қайраткерлері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қатынасты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Орта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Азияның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ғалым-энциклопедисі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мемлекет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қайраткері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Мұхамед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Тарағай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Ұлықбектің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600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жылдығына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Қырғыз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эпосы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Манастың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 1000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жылдығына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С. Сейфуллин мен Е.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Букетовтың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өмірлері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қызметтеріне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арналған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сессиялар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конференциялар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уақыттың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оқиғалары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Мысалы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Абай мен Манас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эпосының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салтанаттарына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Ш. Айтматов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Еуропадан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арнайы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рет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келді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7E8A033C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Кенжеғали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Әбенұлының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жоспарында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қазақ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халқының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рухани-тарихи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мұраларын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«Алаш»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феноменін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жан-жақты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зерттеуді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ұйымдастыру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қазақтың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аса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көрнекті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қайраткерлері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ғылыми-публицистикалық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серия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шығару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академия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қатарына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басқа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шығармашылық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бағытта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ерекше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орны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бар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азаматтарды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мүшелікке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тарту,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үшін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ұйымдармен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байланысты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нығайту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зерттеулерді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халықаралық-гранттық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деңгейге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көтеру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қолданбалы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зерттеулерді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келісім-шарттар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арқылы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зауыттық-өндірістік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жағдайға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көшіру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жеке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техникалық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экономикалық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бөлімшелер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құру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сияқты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алуан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түрлі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мәселелер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Бірақ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оларды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жүзеге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асырудың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сәті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түспеді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экономикалық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дағдарыс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та,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басқа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субъективті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факторлар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әсерін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тигізді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 ҰҒА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кеңестік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анахронизм», «конституция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нормаларына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келмейтін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заңсыз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мекеме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lastRenderedPageBreak/>
        <w:t>қатарында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атала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бастады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Қаржы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тапшылығына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байланысты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қысқарту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жүргізу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жұмысының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көрсеткішіне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айналып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кетті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әсерінен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ҰҒА-да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жылда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үш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қысқарту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науқаны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өтіп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істейтін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адамдар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саны 2 500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кісіге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ал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қызметкерлер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саны 672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кісіге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азайды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Ізденіс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жүргізіп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жатқан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тақырыптардың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332-сі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тоқтатылып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институттардың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240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бөлімдері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зертханалары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қысқартылды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сыртында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үш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зерттеу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мекемелері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жабылып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басқа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мекеме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үш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зерттеу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мекемелеріне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біріктірілді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0FAB1381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К.Ә.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Сағадиев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бұл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тенденцияға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бейжай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қарай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алмай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республикалық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мерзімді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баспасөз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беттерінде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Ғылымсыз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ғұмыр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тұл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», «Академия наук на перепутье», «Нельзя растаскивать единый работающий организм, нельзя разбазаривать великое народное достояние»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секілді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мақалалар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жазып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институттарын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материалдық-техникалық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базасы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кадрларын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сақтап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қалуға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барлық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күшін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Дегенмен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бұл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әрекеттер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академиясы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–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министрлігін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құрумен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аяқталып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академик К.Ә.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Сағадиев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жаңа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ашылған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Қазақ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аграрлық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университетінің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ректоры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қызметіне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тағайындалды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3117F556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Академик К.Ә.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Сағадиев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сирек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эрудициялы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интеллект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иесі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алмас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қылыштай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ерекше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шыңдалудан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зияткер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ғалым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мемлекет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қоғам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қайраткері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халқымыздың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саф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алтындай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кадрлар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қорының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аса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көрнекті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өкілі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даланың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дара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дарынды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тағылымды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тұлғасы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7F2BA3ED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Қазақстанның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соңғы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ғасырлар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тоғысындағы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ғұлама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ғалымы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кемеңгер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қайраткері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екеніне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ешкім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таласа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алмайды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Кенжеғали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Әбенұлы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аумалы-төкпелі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кезеңде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халықтың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рухани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өмірінің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ауыр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жүгін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арқалаған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қазақтың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Қаныш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Имантайұлы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Сәтбаев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тектес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перзенті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Академик Ерлан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Сыдықов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оны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Заманымыздың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Құнанбайы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деуі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тегін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емес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483CCA6F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К.Ә.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Сағадиев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кейінгі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жастар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түгіл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біздің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қатарымызға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үлгі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боларлық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тағылымы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мол</w:t>
      </w:r>
      <w:proofErr w:type="gram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ғұлама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сөйлесе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шешен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бастаса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көсемдігі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де кем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емес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шебер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ұйымдастырушы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5F2EF098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Кенжеғали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Әбенұлы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шаруасын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күнделікті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ұсақ-түйек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тұрмыстық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мәселелерді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сөз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етуге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уақыт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кетірмейтін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Ол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қызметте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де,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өзгені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де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босаңсытпайтын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қатаң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талап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қоятын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Кімнің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қандай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іске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икемі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барын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тез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танып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адамдарды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қабілетіне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байланысты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орналастыратын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Жүздеген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тіпті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мыңдаған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адамдарды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мақсатты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орындауға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жұмылдыру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үйреншікті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қасиеті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26D0E31E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Кенжекеңнің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жүректілігі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де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ерекше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Қандай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үлкен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аудиторияларға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тайсалмай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кіретін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Мүдірмей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сөйлейтін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сөзге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қайта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соқпайтын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Сөйлеген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сайын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тыңдаушысын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тарта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түсетін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қатынасуымен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күнделікті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отырыстар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шағын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конференцияларға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ал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семинарлар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үлкен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форумдарға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айналып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кете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баратын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36A5BEF4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Ол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қазақ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білімі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қоғамдық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ойын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жаңаша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жалғастырудың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басы-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қасында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үлкен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мінез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иесі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Сыңар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туған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сәйгүлік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өзімен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жарысқан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жалғыздық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та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жарасқан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Қалың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топқа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қаймықпай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қарсы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жүретін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ордалы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жиындарда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ойлы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сөз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айта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білетін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көпшіліктің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көңілін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тауып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қошеметке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ие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болатын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тайталасқа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түссе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жеңілмейтін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күрескер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болатын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0F9B744E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Бұл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тектілікті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өмірдің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шыңдаған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шындық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Кенжекеңмен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алпыс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жыл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отасқан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Нағытай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жеңгеміз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жары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адам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жанын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тебірентер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кітап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жазды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Сыңарым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екіншісінде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,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Сыңарым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да,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сұңқарым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да,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алыбым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да,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айбыным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да,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айдыным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едің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», – дей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келіп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Кенжекең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студент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кезінің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жасына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қарамай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бойына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туа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біткен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ақылы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телегей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теңіз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білімі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келген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адамның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жүзіне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тіке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қарап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тура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сөйлейтіні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қандай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мәселе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болмасын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тез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арада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шешім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қабылдауы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сенімділігі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сияқты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ерекше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қасиеттері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жаратылысының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даралығын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ерекшелігін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сондай-ақ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көшбасшылық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тұлғасын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танытатын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», –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жалғастырады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59C989C2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lastRenderedPageBreak/>
        <w:t>Кенжеғали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ағамыз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да,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Нағытай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жеңгеміз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де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достық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пен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сыйластықты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жоғары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бағалады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зиялы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қауымның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ұйытқысы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ортасында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жүрді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жарасымды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қарым-қатынас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жасады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23B6C4E0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Кенжеғали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Әбенұлы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мақалалары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баяндамаларын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дайындайтын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А4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қағазының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жартысына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жазған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маржандай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ұсақ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сөз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тізбектерінің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түзетусіз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талай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беттері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компьютерлерге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теріліп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жатқанын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талай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көрдім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Сол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әдетімен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халқымыздың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біртуар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азаматтары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Абай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Құнанбаев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Ахмет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Байтұрсынов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Халел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Досмұханбетов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Қаныш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Сәтбаев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Шахмардан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Есенов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Евней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Бөкетов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Манаш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Қозыбаев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Өмірзақ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Сұлтанғазиннің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ғылыми-көркем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портреттерін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асыл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сөздермен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өрнектеп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шықты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35AB8058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Осыларға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байланысты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ойымда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қалған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жағдайды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айта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кетейін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Олардың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жоғарыда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көрсетілген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ғылыми-техникалық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даму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жөніндегі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баяндамаға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байланысты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ғылыми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бөлімшелерден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мәліметтер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жинап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алғашқы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нұсқасын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жасау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тапсырылған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келген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материалдармен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жетідей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істеп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көлемі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68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беттей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баяндамаға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негіз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болады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-ау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материалдарды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Кенжекеңе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жеткізіп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бердім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күннен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президент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берген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нұсқа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жазған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36 бет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қолжазбаны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қолыма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ұстатты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Ішінде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дайындаған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материалдан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мардымды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ештеңе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болмай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шықты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0F6787F0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Екіншісі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Абайдың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150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жылдығына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дайындық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кезінде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Кенжекең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кіріп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кабинетіне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барсам,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кітапханадан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Қазақ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газетінің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қалың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тікпесін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алдырып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А.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Байтұрсыновтың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Қазақтың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бас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ақыны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мақаласын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оқып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отыр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жерде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Абай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баяндамасының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қолжазбасын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оқып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берді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Таңданғаным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сонша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«неге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жазушы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болмағансыз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 –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ізінше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осыным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орынсыз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-ау, академия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президентін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жазушыдан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төменсітіп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тастадым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ба» –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ыңғайсызданып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қалдым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Бірақ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Кенжекең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кейде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өзім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де неге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жолға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түспедім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ойға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келемін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», –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жағдайымды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жеңілдетіп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тастады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11D6BF1B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Кенжекеңді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көптен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білсем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де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тағы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көрсем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келесі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кездесуді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аңсап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жүретінмін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Бірақ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пандемияға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байланысты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шектеу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кезінде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Кенжекеңмен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телефон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арқылы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ғана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сөйлесіп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тұруға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тура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келді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Операциядан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мазасын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ала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бермейін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телефон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соғуды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сиретіп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жіберсем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хабарласушы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Соңғы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ауруханаға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жатарының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алдында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сөйлескенімде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Жақсымын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Тамақты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аз-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аздап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жиі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ішемін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Біртіндеп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салмақ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қосып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келемін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Күніне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бір-екі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сағат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та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істей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бастадым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Фейсбукта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парақшам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бар.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Ойларымды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жазып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жүрмін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», –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дегенінде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олар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не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жөнінде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екенін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сұрап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едім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Жазатын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дүние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Алдымен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жеке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табыс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салығы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жазбақшымын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Елдің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қазіргі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жағдайында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табыс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салығын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тезірек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прогресті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шкалаға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көшірмесек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қиын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болады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Бай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байи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түсіп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кедей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одан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кедейлене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береді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Бұл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тәсіл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мемлекеттің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тәжірибесінде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бар», –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766E3C22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Мен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Кенжеке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жалақылардың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дені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конверт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арқылы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беруге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көшіріледі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сөз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бар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ғой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», –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дегенімде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,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Олай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істетпейтін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әдістер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қоса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шешілетін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болады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Сәбит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қалқам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біреу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есік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қағып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тұр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келген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жеңгең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шығар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барайын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Светаға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сәлем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айт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», –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сөзін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аяқтап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аяулы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ағам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Ол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кезде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үлкен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жүрек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соғуын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тоқтатып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артында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өкініш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пен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сағыныш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қалатынын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сезбеп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едім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7E05CF92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Осы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күнге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дейін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ел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ішінде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жабылуына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К.Ә.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Сағадиевтің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президенттікке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сайлануы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себеп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әңгіме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айтылады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Өзім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бұл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ұшқары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ой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сөзге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қосыла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алмаймын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Өйткені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кезде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жағдай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мүлде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басқаша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болатын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Біріншіден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бүкіл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Кеңес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одағында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еркін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сайлаулар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өткізіліп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барлық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депутаттар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жетекші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қызметкерлер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баламалы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жағдайда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анықталып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жатты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Мысалы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Қазақ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университетінің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ректоры М.М.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Әбділдин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осы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жолмен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сайланды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оны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басшылар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ұната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қоймады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Бірақ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үшін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ҚазМУ-ды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тарату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ешкімнің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ойына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келген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жоқ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3FF9118B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lastRenderedPageBreak/>
        <w:t>Екіншіден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сайлау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қарсаңында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К.Ә.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Сағадиев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білім-ғылым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саласының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көпке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танымал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көшбасшысына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айналды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ортада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беделі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өте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жоғары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басқарушы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ретінде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бағаланды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5122E4ED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Үшіншіден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К.Ә.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Сағадиев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феноменіне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ерекше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қадір-қабілетіне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жоғарғы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көңіл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аудармады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дер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кезінде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мол</w:t>
      </w:r>
      <w:proofErr w:type="gram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мүмкіндіктерін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республикалық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деңгейде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пайдаға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асырғысы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келмеді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Мұны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кезінде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кімнің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де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бағасын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салмағы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мүмкіндіктерін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анық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айыра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алатын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пайғамбар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іспетті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ғалым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академик С.З.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Зиманов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та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айтқан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болатын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Егер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Кенжеғали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Әбенұлы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бұрынырақ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жоғарғы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деңгейдегі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қызметке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тартылған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болса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орнына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Академияға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басқа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іскер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ғалым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сайланып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Академия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бүгінге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дейін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қызметін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атқарып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жатуы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мүмкін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42B5335C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Төртіншіден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Кенжеғали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Әбенұлы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сенімді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адам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ретінде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азаматтық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хақын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пайдаланып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Академия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президенттігіне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үш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адамның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бірі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болып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дауысқа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түсті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Осы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жолда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табандылық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көрсетіп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өз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кандидатурасын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жоқ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Бұл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қазақстандықтардың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арасында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бұрын-соңды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болмаған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оқиға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3C803367" w14:textId="77777777" w:rsidR="009D10DB" w:rsidRPr="009D10DB" w:rsidRDefault="009D10DB" w:rsidP="009D10DB">
      <w:pPr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Бесіншіден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К.Ә.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Сағадиев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бұл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шешімінің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немен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бітетінін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білген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жоқ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Ол Академия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президентін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сайлаудың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Қазақстандағы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басшыларды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баламалы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сайлаудың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соңғысы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болатынын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да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білмеді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Осыған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байланысты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Кенжеғали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Әбенұлын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еліміздегі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баламалы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сайлауды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тоқтаттың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деп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те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кінәлауымыз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керек пе?!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Жоқ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Бұл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кезінде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Республика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бойынша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етек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алған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«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айттым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бітті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кестім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үзілді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»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принципіне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құрылған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басқару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жүйесінің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сорақы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нәтижесі</w:t>
      </w:r>
      <w:proofErr w:type="spellEnd"/>
      <w:r w:rsidRPr="009D10DB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ru-RU"/>
          <w14:ligatures w14:val="none"/>
        </w:rPr>
        <w:t>.</w:t>
      </w:r>
    </w:p>
    <w:p w14:paraId="1D40CE3D" w14:textId="77777777" w:rsidR="009D10DB" w:rsidRPr="009D10DB" w:rsidRDefault="009D10DB" w:rsidP="009D10DB">
      <w:pPr>
        <w:spacing w:after="390" w:line="240" w:lineRule="auto"/>
        <w:jc w:val="right"/>
        <w:rPr>
          <w:rFonts w:ascii="Verdana" w:eastAsia="Times New Roman" w:hAnsi="Verdana" w:cs="Times New Roman"/>
          <w:color w:val="222222"/>
          <w:kern w:val="0"/>
          <w:sz w:val="23"/>
          <w:szCs w:val="23"/>
          <w:lang w:eastAsia="ru-RU"/>
          <w14:ligatures w14:val="none"/>
        </w:rPr>
      </w:pP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Сәбит</w:t>
      </w:r>
      <w:proofErr w:type="spellEnd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 xml:space="preserve"> БАЙЗАҚОВ, ҚР ҰҒА </w:t>
      </w:r>
      <w:proofErr w:type="spellStart"/>
      <w:r w:rsidRPr="009D10DB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ru-RU"/>
          <w14:ligatures w14:val="none"/>
        </w:rPr>
        <w:t>академигі</w:t>
      </w:r>
      <w:proofErr w:type="spellEnd"/>
    </w:p>
    <w:p w14:paraId="416B18AD" w14:textId="77777777" w:rsidR="00136B5A" w:rsidRDefault="00136B5A"/>
    <w:sectPr w:rsidR="0013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F5A20"/>
    <w:multiLevelType w:val="multilevel"/>
    <w:tmpl w:val="128A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20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5A"/>
    <w:rsid w:val="00136B5A"/>
    <w:rsid w:val="001A5991"/>
    <w:rsid w:val="009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F5F4"/>
  <w15:chartTrackingRefBased/>
  <w15:docId w15:val="{B71EA761-32EE-4017-B1F7-2F2A3664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6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6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6B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6B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6B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6B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6B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6B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6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6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6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6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6B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6B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6B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6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6B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6B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qazaq1913.com/wp-content/uploads/2023/04/%D0%9A%D0%B5%D0%BD%D0%B6%D0%B5%D0%B3%D0%B0%D0%BB%D0%B8-%D0%A1%D0%B0%D0%B3%D0%B0%D0%B4%D0%B8%D0%B5%D0%B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2444</Words>
  <Characters>13935</Characters>
  <Application>Microsoft Office Word</Application>
  <DocSecurity>0</DocSecurity>
  <Lines>116</Lines>
  <Paragraphs>32</Paragraphs>
  <ScaleCrop>false</ScaleCrop>
  <Company/>
  <LinksUpToDate>false</LinksUpToDate>
  <CharactersWithSpaces>16347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Aikhanym Kaldymyrza</dc:creator>
  <cp:keywords/>
  <dc:description/>
  <cp:lastModifiedBy>Aikhanym Kaldymyrza</cp:lastModifiedBy>
  <cp:revision>2</cp:revision>
  <dcterms:created xsi:type="dcterms:W3CDTF">2026-02-17T11:58:00Z</dcterms:created>
  <dcterms:modified xsi:type="dcterms:W3CDTF">2026-02-17T12:01:00Z</dcterms:modified>
</cp:coreProperties>
</file>